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A256" w14:textId="4BB11A2C" w:rsidR="003104A9" w:rsidRPr="00403098" w:rsidRDefault="003104A9" w:rsidP="003104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3098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CA288" wp14:editId="677CA289">
                <wp:simplePos x="0" y="0"/>
                <wp:positionH relativeFrom="column">
                  <wp:posOffset>-104775</wp:posOffset>
                </wp:positionH>
                <wp:positionV relativeFrom="paragraph">
                  <wp:posOffset>581025</wp:posOffset>
                </wp:positionV>
                <wp:extent cx="6257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82FE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5.75pt" to="48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" strokecolor="#4a7ebb"/>
            </w:pict>
          </mc:Fallback>
        </mc:AlternateContent>
      </w:r>
      <w:r w:rsidRPr="00403098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A28A" wp14:editId="677CA28B">
                <wp:simplePos x="0" y="0"/>
                <wp:positionH relativeFrom="column">
                  <wp:posOffset>-104776</wp:posOffset>
                </wp:positionH>
                <wp:positionV relativeFrom="paragraph">
                  <wp:posOffset>-152400</wp:posOffset>
                </wp:positionV>
                <wp:extent cx="625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03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12pt" to="484.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+RtwEAAMMDAAAOAAAAZHJzL2Uyb0RvYy54bWysU8GOEzEMvSPxD1HudKaVdoF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403098">
        <w:rPr>
          <w:rFonts w:ascii="Times New Roman" w:hAnsi="Times New Roman" w:cs="Times New Roman"/>
          <w:b/>
          <w:sz w:val="28"/>
          <w:szCs w:val="24"/>
        </w:rPr>
        <w:t>Summary of Content Changes</w:t>
      </w:r>
      <w:r w:rsidRPr="00403098">
        <w:rPr>
          <w:rFonts w:ascii="Times New Roman" w:hAnsi="Times New Roman" w:cs="Times New Roman"/>
          <w:b/>
          <w:sz w:val="28"/>
          <w:szCs w:val="24"/>
        </w:rPr>
        <w:br/>
        <w:t>20</w:t>
      </w:r>
      <w:r w:rsidR="00F37974" w:rsidRPr="00403098">
        <w:rPr>
          <w:rFonts w:ascii="Times New Roman" w:hAnsi="Times New Roman" w:cs="Times New Roman"/>
          <w:b/>
          <w:sz w:val="28"/>
          <w:szCs w:val="24"/>
        </w:rPr>
        <w:t>20</w:t>
      </w:r>
      <w:r w:rsidRPr="00403098">
        <w:rPr>
          <w:rFonts w:ascii="Times New Roman" w:hAnsi="Times New Roman" w:cs="Times New Roman"/>
          <w:b/>
          <w:sz w:val="28"/>
          <w:szCs w:val="24"/>
        </w:rPr>
        <w:t>.</w:t>
      </w:r>
      <w:r w:rsidR="0099231F" w:rsidRPr="00403098">
        <w:rPr>
          <w:rFonts w:ascii="Times New Roman" w:hAnsi="Times New Roman" w:cs="Times New Roman"/>
          <w:b/>
          <w:sz w:val="28"/>
          <w:szCs w:val="24"/>
        </w:rPr>
        <w:t>5</w:t>
      </w:r>
      <w:r w:rsidRPr="00403098">
        <w:rPr>
          <w:rFonts w:ascii="Times New Roman" w:hAnsi="Times New Roman" w:cs="Times New Roman"/>
          <w:b/>
          <w:sz w:val="28"/>
          <w:szCs w:val="24"/>
        </w:rPr>
        <w:t xml:space="preserve"> Update –</w:t>
      </w:r>
      <w:r w:rsidR="00A63521" w:rsidRPr="004030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754B2" w:rsidRPr="00403098">
        <w:rPr>
          <w:rFonts w:ascii="Times New Roman" w:hAnsi="Times New Roman" w:cs="Times New Roman"/>
          <w:b/>
          <w:sz w:val="28"/>
          <w:szCs w:val="24"/>
        </w:rPr>
        <w:t>September</w:t>
      </w:r>
      <w:r w:rsidR="00352E59" w:rsidRPr="004030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37974" w:rsidRPr="00403098">
        <w:rPr>
          <w:rFonts w:ascii="Times New Roman" w:hAnsi="Times New Roman" w:cs="Times New Roman"/>
          <w:b/>
          <w:sz w:val="28"/>
          <w:szCs w:val="24"/>
        </w:rPr>
        <w:t>2020</w:t>
      </w:r>
    </w:p>
    <w:p w14:paraId="677CA257" w14:textId="77777777" w:rsidR="003104A9" w:rsidRPr="00403098" w:rsidRDefault="003104A9" w:rsidP="003104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7CA258" w14:textId="77777777" w:rsidR="003104A9" w:rsidRPr="00403098" w:rsidRDefault="003104A9" w:rsidP="003104A9">
      <w:pPr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General Notes</w:t>
      </w:r>
    </w:p>
    <w:p w14:paraId="08747E10" w14:textId="25A78C3B" w:rsidR="00A57C60" w:rsidRPr="00403098" w:rsidRDefault="00DE25B0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Many of the updates made this quarter were </w:t>
      </w:r>
      <w:r w:rsidR="00EA52AF" w:rsidRPr="00403098">
        <w:rPr>
          <w:rFonts w:cstheme="minorHAnsi"/>
          <w:bCs/>
          <w:sz w:val="24"/>
          <w:szCs w:val="24"/>
        </w:rPr>
        <w:t>administrative</w:t>
      </w:r>
      <w:r w:rsidR="00A757DF" w:rsidRPr="00403098">
        <w:rPr>
          <w:rFonts w:cstheme="minorHAnsi"/>
          <w:bCs/>
          <w:sz w:val="24"/>
          <w:szCs w:val="24"/>
        </w:rPr>
        <w:t xml:space="preserve"> or designed to increase the value of the policy.  However, we did have some changes that </w:t>
      </w:r>
      <w:r w:rsidR="009E54BE" w:rsidRPr="00403098">
        <w:rPr>
          <w:rFonts w:cstheme="minorHAnsi"/>
          <w:bCs/>
          <w:sz w:val="24"/>
          <w:szCs w:val="24"/>
        </w:rPr>
        <w:t>were intended to capture</w:t>
      </w:r>
      <w:r w:rsidR="0065583A" w:rsidRPr="00403098">
        <w:rPr>
          <w:rFonts w:cstheme="minorHAnsi"/>
          <w:bCs/>
          <w:sz w:val="24"/>
          <w:szCs w:val="24"/>
        </w:rPr>
        <w:t xml:space="preserve"> formal</w:t>
      </w:r>
      <w:r w:rsidR="009E54BE" w:rsidRPr="00403098">
        <w:rPr>
          <w:rFonts w:cstheme="minorHAnsi"/>
          <w:bCs/>
          <w:sz w:val="24"/>
          <w:szCs w:val="24"/>
        </w:rPr>
        <w:t xml:space="preserve"> guidance from the relevant regulatory agency</w:t>
      </w:r>
      <w:r w:rsidR="0065583A" w:rsidRPr="00403098">
        <w:rPr>
          <w:rFonts w:cstheme="minorHAnsi"/>
          <w:bCs/>
          <w:sz w:val="24"/>
          <w:szCs w:val="24"/>
        </w:rPr>
        <w:t>,</w:t>
      </w:r>
      <w:r w:rsidR="004B0CF6" w:rsidRPr="00403098">
        <w:rPr>
          <w:rFonts w:cstheme="minorHAnsi"/>
          <w:bCs/>
          <w:sz w:val="24"/>
          <w:szCs w:val="24"/>
        </w:rPr>
        <w:t xml:space="preserve"> as appropriately linked below.</w:t>
      </w:r>
    </w:p>
    <w:p w14:paraId="66CF9FA5" w14:textId="77777777" w:rsidR="004B0CF6" w:rsidRPr="00403098" w:rsidRDefault="004B0CF6" w:rsidP="00E55D5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C1B47F" w14:textId="23BB8DEA" w:rsidR="004B0CF6" w:rsidRPr="00403098" w:rsidRDefault="004B0CF6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>Important to note is the addition of Policy 2111 for Hemp-Related Accounts.  This policy was created at the request of credit unions</w:t>
      </w:r>
      <w:r w:rsidR="00551E6B" w:rsidRPr="00403098">
        <w:rPr>
          <w:rFonts w:cstheme="minorHAnsi"/>
          <w:bCs/>
          <w:sz w:val="24"/>
          <w:szCs w:val="24"/>
        </w:rPr>
        <w:t xml:space="preserve"> and contains guidance specifically related to </w:t>
      </w:r>
      <w:r w:rsidR="00240E67" w:rsidRPr="00403098">
        <w:rPr>
          <w:rFonts w:cstheme="minorHAnsi"/>
          <w:bCs/>
          <w:sz w:val="24"/>
          <w:szCs w:val="24"/>
        </w:rPr>
        <w:t>offering hemp-related accounts.</w:t>
      </w:r>
    </w:p>
    <w:p w14:paraId="4C3CA096" w14:textId="77777777" w:rsidR="00240E67" w:rsidRPr="00403098" w:rsidRDefault="00240E67" w:rsidP="00E55D5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58D969E" w14:textId="7607ACBB" w:rsidR="00240E67" w:rsidRPr="00403098" w:rsidRDefault="008F3FF9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The Payday Alternative </w:t>
      </w:r>
      <w:r w:rsidR="003F59A2" w:rsidRPr="00403098">
        <w:rPr>
          <w:rFonts w:cstheme="minorHAnsi"/>
          <w:bCs/>
          <w:sz w:val="24"/>
          <w:szCs w:val="24"/>
        </w:rPr>
        <w:t>Loan policy was updated based on the most recent final rule coming out of the CFPB, which eliminate</w:t>
      </w:r>
      <w:r w:rsidR="00AC0F8E" w:rsidRPr="00403098">
        <w:rPr>
          <w:rFonts w:cstheme="minorHAnsi"/>
          <w:bCs/>
          <w:sz w:val="24"/>
          <w:szCs w:val="24"/>
        </w:rPr>
        <w:t>d</w:t>
      </w:r>
      <w:r w:rsidR="003F59A2" w:rsidRPr="00403098">
        <w:rPr>
          <w:rFonts w:cstheme="minorHAnsi"/>
          <w:bCs/>
          <w:sz w:val="24"/>
          <w:szCs w:val="24"/>
        </w:rPr>
        <w:t xml:space="preserve"> the mandatory underwriting provisions</w:t>
      </w:r>
      <w:r w:rsidR="00AC0F8E" w:rsidRPr="00403098">
        <w:rPr>
          <w:rFonts w:cstheme="minorHAnsi"/>
          <w:bCs/>
          <w:sz w:val="24"/>
          <w:szCs w:val="24"/>
        </w:rPr>
        <w:t xml:space="preserve"> scheduled to become effective in November, along with corresponding commentary </w:t>
      </w:r>
      <w:r w:rsidR="00755CF1" w:rsidRPr="00403098">
        <w:rPr>
          <w:rFonts w:cstheme="minorHAnsi"/>
          <w:bCs/>
          <w:sz w:val="24"/>
          <w:szCs w:val="24"/>
        </w:rPr>
        <w:t>that indicated that the NCUA’s PAL II loan did not have the same exemption as the PAL I loan.</w:t>
      </w:r>
    </w:p>
    <w:p w14:paraId="6DDDBA49" w14:textId="77777777" w:rsidR="00551E6B" w:rsidRPr="00403098" w:rsidRDefault="00551E6B" w:rsidP="00E55D5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54012BC" w14:textId="30ED735B" w:rsidR="007473F4" w:rsidRPr="00403098" w:rsidRDefault="00A355A6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>We have also decided to remove Policy 3110</w:t>
      </w:r>
      <w:r w:rsidR="008F2DDA" w:rsidRPr="00403098">
        <w:rPr>
          <w:rFonts w:cstheme="minorHAnsi"/>
          <w:bCs/>
          <w:sz w:val="24"/>
          <w:szCs w:val="24"/>
        </w:rPr>
        <w:t xml:space="preserve"> -</w:t>
      </w:r>
      <w:r w:rsidRPr="00403098">
        <w:rPr>
          <w:rFonts w:cstheme="minorHAnsi"/>
          <w:bCs/>
          <w:sz w:val="24"/>
          <w:szCs w:val="24"/>
        </w:rPr>
        <w:t xml:space="preserve"> Operating Charge Offs.  </w:t>
      </w:r>
      <w:r w:rsidR="00AE783F" w:rsidRPr="00403098">
        <w:rPr>
          <w:rFonts w:cstheme="minorHAnsi"/>
          <w:bCs/>
          <w:sz w:val="24"/>
          <w:szCs w:val="24"/>
        </w:rPr>
        <w:t>With our multi</w:t>
      </w:r>
      <w:r w:rsidR="00FE165D" w:rsidRPr="00403098">
        <w:rPr>
          <w:rFonts w:cstheme="minorHAnsi"/>
          <w:bCs/>
          <w:sz w:val="24"/>
          <w:szCs w:val="24"/>
        </w:rPr>
        <w:t xml:space="preserve">ple loan and account (overdraft) charge off policy, we believe this policy </w:t>
      </w:r>
      <w:r w:rsidR="002C7256" w:rsidRPr="00403098">
        <w:rPr>
          <w:rFonts w:cstheme="minorHAnsi"/>
          <w:bCs/>
          <w:sz w:val="24"/>
          <w:szCs w:val="24"/>
        </w:rPr>
        <w:t>is unnecessary.</w:t>
      </w:r>
    </w:p>
    <w:p w14:paraId="4812CFCC" w14:textId="77777777" w:rsidR="00220571" w:rsidRPr="00403098" w:rsidRDefault="00220571" w:rsidP="00E55D5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6899783" w14:textId="1B78296C" w:rsidR="00F91EA9" w:rsidRPr="00403098" w:rsidRDefault="00C63DD8" w:rsidP="00F91EA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 xml:space="preserve">Policy </w:t>
      </w:r>
      <w:r w:rsidR="00F91EA9" w:rsidRPr="00403098">
        <w:rPr>
          <w:rFonts w:cstheme="minorHAnsi"/>
          <w:b/>
          <w:sz w:val="24"/>
          <w:szCs w:val="24"/>
          <w:u w:val="single"/>
        </w:rPr>
        <w:t>2111 – Hemp-Related Accounts</w:t>
      </w:r>
      <w:r w:rsidR="00240E67" w:rsidRPr="00403098">
        <w:rPr>
          <w:rFonts w:cstheme="minorHAnsi"/>
          <w:b/>
          <w:sz w:val="24"/>
          <w:szCs w:val="24"/>
          <w:u w:val="single"/>
        </w:rPr>
        <w:t xml:space="preserve"> </w:t>
      </w:r>
      <w:r w:rsidR="0065583A" w:rsidRPr="00403098">
        <w:rPr>
          <w:rFonts w:cstheme="minorHAnsi"/>
          <w:b/>
          <w:color w:val="FF0000"/>
          <w:sz w:val="24"/>
          <w:szCs w:val="24"/>
          <w:u w:val="single"/>
        </w:rPr>
        <w:t>** NEW POLICY</w:t>
      </w:r>
      <w:r w:rsidR="00240E67" w:rsidRPr="00403098">
        <w:rPr>
          <w:rFonts w:cstheme="minorHAnsi"/>
          <w:b/>
          <w:color w:val="FF0000"/>
          <w:sz w:val="24"/>
          <w:szCs w:val="24"/>
          <w:u w:val="single"/>
        </w:rPr>
        <w:t>**</w:t>
      </w:r>
    </w:p>
    <w:p w14:paraId="1786730E" w14:textId="77777777" w:rsidR="00F91EA9" w:rsidRPr="00403098" w:rsidRDefault="00F91EA9" w:rsidP="00F91EA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1BF89A4F" w14:textId="3FF4C07D" w:rsidR="00F91EA9" w:rsidRPr="00403098" w:rsidRDefault="00F91EA9" w:rsidP="00F91EA9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In order to assist credit unions more effectively, a new model policy specifically related to hemp was created.  </w:t>
      </w:r>
      <w:r w:rsidRPr="00403098">
        <w:rPr>
          <w:rFonts w:cstheme="minorHAnsi"/>
          <w:b/>
          <w:color w:val="FF0000"/>
          <w:sz w:val="24"/>
          <w:szCs w:val="24"/>
        </w:rPr>
        <w:t>(Recommended if offered)</w:t>
      </w:r>
    </w:p>
    <w:p w14:paraId="27BC1BF7" w14:textId="77777777" w:rsidR="00F91EA9" w:rsidRPr="00403098" w:rsidRDefault="00F91EA9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2D81121" w14:textId="6C953602" w:rsidR="00C63DD8" w:rsidRPr="00403098" w:rsidRDefault="00FB324A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Policy 2114 – Politically Exposed Persons (PEPs)</w:t>
      </w:r>
    </w:p>
    <w:p w14:paraId="178FB50B" w14:textId="63968DE4" w:rsidR="00FB324A" w:rsidRPr="00403098" w:rsidRDefault="00FB324A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0031DA05" w14:textId="588C13A7" w:rsidR="00FB324A" w:rsidRPr="00403098" w:rsidRDefault="0028285B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This policy was revised to </w:t>
      </w:r>
      <w:r w:rsidR="000B1CD0" w:rsidRPr="00403098">
        <w:rPr>
          <w:rFonts w:cstheme="minorHAnsi"/>
          <w:bCs/>
          <w:sz w:val="24"/>
          <w:szCs w:val="24"/>
        </w:rPr>
        <w:t xml:space="preserve">capture the latest guidance from FinCEN regarding </w:t>
      </w:r>
      <w:hyperlink r:id="rId9" w:history="1">
        <w:r w:rsidR="000B1CD0" w:rsidRPr="00403098">
          <w:rPr>
            <w:rStyle w:val="Hyperlink"/>
            <w:rFonts w:cstheme="minorHAnsi"/>
            <w:bCs/>
            <w:sz w:val="24"/>
            <w:szCs w:val="24"/>
          </w:rPr>
          <w:t xml:space="preserve">BSA Due Diligence Requirements for Customers who may be considered politically exposed </w:t>
        </w:r>
        <w:r w:rsidR="00FC5EFC" w:rsidRPr="00403098">
          <w:rPr>
            <w:rStyle w:val="Hyperlink"/>
            <w:rFonts w:cstheme="minorHAnsi"/>
            <w:bCs/>
            <w:sz w:val="24"/>
            <w:szCs w:val="24"/>
          </w:rPr>
          <w:t>persons.</w:t>
        </w:r>
      </w:hyperlink>
      <w:r w:rsidR="00FC5EFC" w:rsidRPr="00403098">
        <w:rPr>
          <w:rFonts w:cstheme="minorHAnsi"/>
          <w:bCs/>
          <w:sz w:val="24"/>
          <w:szCs w:val="24"/>
        </w:rPr>
        <w:t xml:space="preserve">  </w:t>
      </w:r>
      <w:r w:rsidR="00FC5EFC" w:rsidRPr="00403098">
        <w:rPr>
          <w:rFonts w:cstheme="minorHAnsi"/>
          <w:b/>
          <w:color w:val="FF0000"/>
          <w:sz w:val="24"/>
          <w:szCs w:val="24"/>
        </w:rPr>
        <w:t>(Recommended if offered)</w:t>
      </w:r>
    </w:p>
    <w:p w14:paraId="7B3E332C" w14:textId="77777777" w:rsidR="00C63DD8" w:rsidRPr="00403098" w:rsidRDefault="00C63DD8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053FC43" w14:textId="3615BE9C" w:rsidR="00571570" w:rsidRPr="00403098" w:rsidRDefault="00571570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Policy 2140 – Purchasing</w:t>
      </w:r>
    </w:p>
    <w:p w14:paraId="47B2158C" w14:textId="6FA4EE61" w:rsidR="00571570" w:rsidRPr="00403098" w:rsidRDefault="00571570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0844C841" w14:textId="60422D79" w:rsidR="00571570" w:rsidRPr="00403098" w:rsidRDefault="00571570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This policy was substantially updated to provide more </w:t>
      </w:r>
      <w:r w:rsidR="00126EFC" w:rsidRPr="00403098">
        <w:rPr>
          <w:rFonts w:cstheme="minorHAnsi"/>
          <w:bCs/>
          <w:sz w:val="24"/>
          <w:szCs w:val="24"/>
        </w:rPr>
        <w:t>comprehensive content related to a purchasing</w:t>
      </w:r>
      <w:r w:rsidR="000C5898" w:rsidRPr="00403098">
        <w:rPr>
          <w:rFonts w:cstheme="minorHAnsi"/>
          <w:bCs/>
          <w:sz w:val="24"/>
          <w:szCs w:val="24"/>
        </w:rPr>
        <w:t xml:space="preserve"> and expense </w:t>
      </w:r>
      <w:r w:rsidR="00230C62" w:rsidRPr="00403098">
        <w:rPr>
          <w:rFonts w:cstheme="minorHAnsi"/>
          <w:bCs/>
          <w:sz w:val="24"/>
          <w:szCs w:val="24"/>
        </w:rPr>
        <w:t xml:space="preserve">authorization. </w:t>
      </w:r>
      <w:r w:rsidR="00230C62"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6F534537" w14:textId="77777777" w:rsidR="00571570" w:rsidRPr="00403098" w:rsidRDefault="00571570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EC620D2" w14:textId="7E70C5C9" w:rsidR="00FE3A21" w:rsidRPr="00403098" w:rsidRDefault="00FE3A21" w:rsidP="00A22CA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 xml:space="preserve">Policy 2213 </w:t>
      </w:r>
      <w:r w:rsidR="00EF6B9D" w:rsidRPr="00403098">
        <w:rPr>
          <w:rFonts w:cstheme="minorHAnsi"/>
          <w:b/>
          <w:sz w:val="24"/>
          <w:szCs w:val="24"/>
          <w:u w:val="single"/>
        </w:rPr>
        <w:t>–</w:t>
      </w:r>
      <w:r w:rsidRPr="00403098">
        <w:rPr>
          <w:rFonts w:cstheme="minorHAnsi"/>
          <w:b/>
          <w:sz w:val="24"/>
          <w:szCs w:val="24"/>
          <w:u w:val="single"/>
        </w:rPr>
        <w:t xml:space="preserve"> T</w:t>
      </w:r>
      <w:r w:rsidR="00EF6B9D" w:rsidRPr="00403098">
        <w:rPr>
          <w:rFonts w:cstheme="minorHAnsi"/>
          <w:b/>
          <w:sz w:val="24"/>
          <w:szCs w:val="24"/>
          <w:u w:val="single"/>
        </w:rPr>
        <w:t>rust Accounts</w:t>
      </w:r>
    </w:p>
    <w:p w14:paraId="6124C599" w14:textId="1BCF8114" w:rsidR="00EF6B9D" w:rsidRPr="00403098" w:rsidRDefault="00EF6B9D" w:rsidP="00A22CA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0EBF57AD" w14:textId="101107A3" w:rsidR="00EF6B9D" w:rsidRPr="00403098" w:rsidRDefault="00EF6B9D" w:rsidP="00A22CA5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>This policy was up</w:t>
      </w:r>
      <w:r w:rsidR="00F05418" w:rsidRPr="00403098">
        <w:rPr>
          <w:rFonts w:cstheme="minorHAnsi"/>
          <w:bCs/>
          <w:sz w:val="24"/>
          <w:szCs w:val="24"/>
        </w:rPr>
        <w:t>dated to include minor helpful changes.  Additionally, the reference to Unlawful Internet Gambling was removed</w:t>
      </w:r>
      <w:r w:rsidR="00056B90" w:rsidRPr="00403098">
        <w:rPr>
          <w:rFonts w:cstheme="minorHAnsi"/>
          <w:bCs/>
          <w:sz w:val="24"/>
          <w:szCs w:val="24"/>
        </w:rPr>
        <w:t xml:space="preserve"> based on the industry standard of not including Trust accounts within the “commercial account” definition.  </w:t>
      </w:r>
      <w:r w:rsidR="00056B90"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0C4D5BC3" w14:textId="77777777" w:rsidR="00FE3A21" w:rsidRPr="00403098" w:rsidRDefault="00FE3A21" w:rsidP="00A22CA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EBAE11F" w14:textId="21E5E9F7" w:rsidR="00A22CA5" w:rsidRPr="00403098" w:rsidRDefault="00C019D8" w:rsidP="00A22CA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lastRenderedPageBreak/>
        <w:t xml:space="preserve">Policy </w:t>
      </w:r>
      <w:r w:rsidR="00A22CA5" w:rsidRPr="00403098">
        <w:rPr>
          <w:rFonts w:cstheme="minorHAnsi"/>
          <w:b/>
          <w:sz w:val="24"/>
          <w:szCs w:val="24"/>
          <w:u w:val="single"/>
        </w:rPr>
        <w:t>2290 – Wire Transfers</w:t>
      </w:r>
    </w:p>
    <w:p w14:paraId="525B27CB" w14:textId="77777777" w:rsidR="00A22CA5" w:rsidRPr="00403098" w:rsidRDefault="00A22CA5" w:rsidP="00A22CA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0E12862B" w14:textId="77777777" w:rsidR="00A22CA5" w:rsidRPr="00403098" w:rsidRDefault="00A22CA5" w:rsidP="00A22CA5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This policy was updated to remove the reference to NACHA and ACH transactions. </w:t>
      </w:r>
      <w:r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5AB7B619" w14:textId="77777777" w:rsidR="00A22CA5" w:rsidRPr="00403098" w:rsidRDefault="00A22CA5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5B5554F" w14:textId="600C3B83" w:rsidR="00A57C60" w:rsidRPr="00403098" w:rsidRDefault="00D0483D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 xml:space="preserve">Policy </w:t>
      </w:r>
      <w:r w:rsidR="006A742E" w:rsidRPr="00403098">
        <w:rPr>
          <w:rFonts w:cstheme="minorHAnsi"/>
          <w:b/>
          <w:sz w:val="24"/>
          <w:szCs w:val="24"/>
          <w:u w:val="single"/>
        </w:rPr>
        <w:t>2611 – ACH Management</w:t>
      </w:r>
    </w:p>
    <w:p w14:paraId="37BB89EE" w14:textId="42DA5EC8" w:rsidR="00D0483D" w:rsidRPr="00403098" w:rsidRDefault="00D0483D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</w:t>
      </w:r>
      <w:r w:rsidR="006A742E" w:rsidRPr="00403098">
        <w:rPr>
          <w:rFonts w:cstheme="minorHAnsi"/>
          <w:b/>
          <w:sz w:val="24"/>
          <w:szCs w:val="24"/>
          <w:u w:val="single"/>
        </w:rPr>
        <w:t>5</w:t>
      </w:r>
    </w:p>
    <w:p w14:paraId="65E80222" w14:textId="4CA2301E" w:rsidR="007C7BA7" w:rsidRPr="00403098" w:rsidRDefault="00D0483D" w:rsidP="00E55D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>This policy was revised to</w:t>
      </w:r>
      <w:r w:rsidR="006A742E" w:rsidRPr="00403098">
        <w:rPr>
          <w:rFonts w:cstheme="minorHAnsi"/>
          <w:bCs/>
          <w:sz w:val="24"/>
          <w:szCs w:val="24"/>
        </w:rPr>
        <w:t xml:space="preserve"> eliminate the outdated reference to the six</w:t>
      </w:r>
      <w:r w:rsidR="00F62BD3" w:rsidRPr="00403098">
        <w:rPr>
          <w:rFonts w:cstheme="minorHAnsi"/>
          <w:bCs/>
          <w:sz w:val="24"/>
          <w:szCs w:val="24"/>
        </w:rPr>
        <w:t>-</w:t>
      </w:r>
      <w:r w:rsidR="006A742E" w:rsidRPr="00403098">
        <w:rPr>
          <w:rFonts w:cstheme="minorHAnsi"/>
          <w:bCs/>
          <w:sz w:val="24"/>
          <w:szCs w:val="24"/>
        </w:rPr>
        <w:t xml:space="preserve">transaction limit under </w:t>
      </w:r>
      <w:r w:rsidR="00D63B95" w:rsidRPr="00403098">
        <w:rPr>
          <w:rFonts w:cstheme="minorHAnsi"/>
          <w:bCs/>
          <w:sz w:val="24"/>
          <w:szCs w:val="24"/>
        </w:rPr>
        <w:t>Regulation D</w:t>
      </w:r>
      <w:r w:rsidR="00A23F05" w:rsidRPr="00403098">
        <w:rPr>
          <w:rFonts w:cstheme="minorHAnsi"/>
          <w:bCs/>
          <w:sz w:val="24"/>
          <w:szCs w:val="24"/>
        </w:rPr>
        <w:t>.</w:t>
      </w:r>
      <w:r w:rsidR="00A76D97" w:rsidRPr="00403098">
        <w:rPr>
          <w:rFonts w:cstheme="minorHAnsi"/>
          <w:bCs/>
          <w:sz w:val="24"/>
          <w:szCs w:val="24"/>
        </w:rPr>
        <w:t xml:space="preserve"> </w:t>
      </w:r>
      <w:r w:rsidR="007C7BA7"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3AE55F4E" w14:textId="0C860B74" w:rsidR="00DE3C36" w:rsidRPr="00403098" w:rsidRDefault="00DE3C36" w:rsidP="00E55D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5C8E01A9" w14:textId="43DB6F2E" w:rsidR="007D22F3" w:rsidRPr="00403098" w:rsidRDefault="007D22F3" w:rsidP="00E55D54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Policy 3110 – Operating Charge Offs</w:t>
      </w:r>
      <w:r w:rsidR="00624596" w:rsidRPr="00403098">
        <w:rPr>
          <w:rFonts w:cstheme="minorHAnsi"/>
          <w:b/>
          <w:sz w:val="24"/>
          <w:szCs w:val="24"/>
          <w:u w:val="single"/>
        </w:rPr>
        <w:t xml:space="preserve"> </w:t>
      </w:r>
      <w:r w:rsidR="00624596" w:rsidRPr="00403098">
        <w:rPr>
          <w:rFonts w:cstheme="minorHAnsi"/>
          <w:b/>
          <w:color w:val="FF0000"/>
          <w:sz w:val="24"/>
          <w:szCs w:val="24"/>
          <w:u w:val="single"/>
        </w:rPr>
        <w:t>**Policy Deletion**</w:t>
      </w:r>
    </w:p>
    <w:p w14:paraId="6091EFAA" w14:textId="50382E5C" w:rsidR="007D22F3" w:rsidRPr="00403098" w:rsidRDefault="007D22F3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317DE033" w14:textId="73F2D890" w:rsidR="007D22F3" w:rsidRPr="00403098" w:rsidRDefault="007D22F3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This policy </w:t>
      </w:r>
      <w:r w:rsidR="00BC551F" w:rsidRPr="00403098">
        <w:rPr>
          <w:rFonts w:cstheme="minorHAnsi"/>
          <w:bCs/>
          <w:sz w:val="24"/>
          <w:szCs w:val="24"/>
        </w:rPr>
        <w:t>is being deleted</w:t>
      </w:r>
      <w:r w:rsidR="0051717C" w:rsidRPr="00403098">
        <w:rPr>
          <w:rFonts w:cstheme="minorHAnsi"/>
          <w:bCs/>
          <w:sz w:val="24"/>
          <w:szCs w:val="24"/>
        </w:rPr>
        <w:t xml:space="preserve"> and is considered redundant and out of date</w:t>
      </w:r>
      <w:r w:rsidR="00BC551F" w:rsidRPr="00403098">
        <w:rPr>
          <w:rFonts w:cstheme="minorHAnsi"/>
          <w:bCs/>
          <w:sz w:val="24"/>
          <w:szCs w:val="24"/>
        </w:rPr>
        <w:t>.  Currently, credit unions have access to</w:t>
      </w:r>
      <w:r w:rsidR="00ED745D" w:rsidRPr="00403098">
        <w:rPr>
          <w:rFonts w:cstheme="minorHAnsi"/>
          <w:bCs/>
          <w:sz w:val="24"/>
          <w:szCs w:val="24"/>
        </w:rPr>
        <w:t xml:space="preserve"> multiple</w:t>
      </w:r>
      <w:r w:rsidR="00BC551F" w:rsidRPr="00403098">
        <w:rPr>
          <w:rFonts w:cstheme="minorHAnsi"/>
          <w:bCs/>
          <w:sz w:val="24"/>
          <w:szCs w:val="24"/>
        </w:rPr>
        <w:t xml:space="preserve"> </w:t>
      </w:r>
      <w:r w:rsidR="00277EC6" w:rsidRPr="00403098">
        <w:rPr>
          <w:rFonts w:cstheme="minorHAnsi"/>
          <w:bCs/>
          <w:sz w:val="24"/>
          <w:szCs w:val="24"/>
        </w:rPr>
        <w:t xml:space="preserve">policies related to </w:t>
      </w:r>
      <w:r w:rsidR="007565EF" w:rsidRPr="00403098">
        <w:rPr>
          <w:rFonts w:cstheme="minorHAnsi"/>
          <w:bCs/>
          <w:sz w:val="24"/>
          <w:szCs w:val="24"/>
        </w:rPr>
        <w:t>loan and account</w:t>
      </w:r>
      <w:r w:rsidR="0051717C" w:rsidRPr="00403098">
        <w:rPr>
          <w:rFonts w:cstheme="minorHAnsi"/>
          <w:bCs/>
          <w:sz w:val="24"/>
          <w:szCs w:val="24"/>
        </w:rPr>
        <w:t xml:space="preserve"> charge offs that are more comprehensive</w:t>
      </w:r>
      <w:r w:rsidR="005754EE" w:rsidRPr="00403098">
        <w:rPr>
          <w:rFonts w:cstheme="minorHAnsi"/>
          <w:bCs/>
          <w:sz w:val="24"/>
          <w:szCs w:val="24"/>
        </w:rPr>
        <w:t>.</w:t>
      </w:r>
      <w:r w:rsidR="00656667" w:rsidRPr="00403098">
        <w:rPr>
          <w:rFonts w:cstheme="minorHAnsi"/>
          <w:bCs/>
          <w:sz w:val="24"/>
          <w:szCs w:val="24"/>
        </w:rPr>
        <w:t xml:space="preserve"> </w:t>
      </w:r>
      <w:r w:rsidR="007565EF" w:rsidRPr="00403098">
        <w:rPr>
          <w:rFonts w:cstheme="minorHAnsi"/>
          <w:bCs/>
          <w:sz w:val="24"/>
          <w:szCs w:val="24"/>
        </w:rPr>
        <w:t xml:space="preserve">  </w:t>
      </w:r>
      <w:r w:rsidR="005754EE" w:rsidRPr="00403098">
        <w:rPr>
          <w:rFonts w:cstheme="minorHAnsi"/>
          <w:bCs/>
          <w:sz w:val="24"/>
          <w:szCs w:val="24"/>
        </w:rPr>
        <w:t xml:space="preserve"> </w:t>
      </w:r>
    </w:p>
    <w:p w14:paraId="43AAC720" w14:textId="77777777" w:rsidR="00624596" w:rsidRPr="00403098" w:rsidRDefault="00624596" w:rsidP="00E55D5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CBB425" w14:textId="4EE28536" w:rsidR="00A458E2" w:rsidRPr="00403098" w:rsidRDefault="00DA4EFD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Policy 7115 – Credit Underwriting Standards</w:t>
      </w:r>
    </w:p>
    <w:p w14:paraId="64B2BACC" w14:textId="67C1716A" w:rsidR="00DA4EFD" w:rsidRPr="00403098" w:rsidRDefault="00DA4EFD" w:rsidP="00E55D5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4EFAAA6B" w14:textId="61CB8277" w:rsidR="00DA4EFD" w:rsidRPr="00403098" w:rsidRDefault="00E7397F" w:rsidP="00E55D54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This policy was revised to include the </w:t>
      </w:r>
      <w:hyperlink r:id="rId10" w:history="1">
        <w:r w:rsidRPr="00403098">
          <w:rPr>
            <w:rStyle w:val="Hyperlink"/>
            <w:rFonts w:cstheme="minorHAnsi"/>
            <w:bCs/>
            <w:sz w:val="24"/>
            <w:szCs w:val="24"/>
          </w:rPr>
          <w:t xml:space="preserve">Interagency </w:t>
        </w:r>
        <w:r w:rsidR="003C009D" w:rsidRPr="00403098">
          <w:rPr>
            <w:rStyle w:val="Hyperlink"/>
            <w:rFonts w:cstheme="minorHAnsi"/>
            <w:bCs/>
            <w:sz w:val="24"/>
            <w:szCs w:val="24"/>
          </w:rPr>
          <w:t>Statement</w:t>
        </w:r>
      </w:hyperlink>
      <w:r w:rsidR="003C009D" w:rsidRPr="00403098">
        <w:rPr>
          <w:rFonts w:cstheme="minorHAnsi"/>
          <w:bCs/>
          <w:sz w:val="24"/>
          <w:szCs w:val="24"/>
        </w:rPr>
        <w:t xml:space="preserve"> on the use of alternative data in credit underwriting.  </w:t>
      </w:r>
      <w:r w:rsidRPr="00403098">
        <w:rPr>
          <w:rFonts w:cstheme="minorHAnsi"/>
          <w:bCs/>
          <w:sz w:val="24"/>
          <w:szCs w:val="24"/>
        </w:rPr>
        <w:t xml:space="preserve"> </w:t>
      </w:r>
      <w:r w:rsidR="00B00E8B"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0862B017" w14:textId="77777777" w:rsidR="00A52D65" w:rsidRPr="00403098" w:rsidRDefault="00A52D65" w:rsidP="00522EA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E2BB7A" w14:textId="5FBC27E1" w:rsidR="00A52D65" w:rsidRPr="00403098" w:rsidRDefault="00C019D8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 xml:space="preserve">Policy </w:t>
      </w:r>
      <w:r w:rsidR="00BD590E" w:rsidRPr="00403098">
        <w:rPr>
          <w:rFonts w:cstheme="minorHAnsi"/>
          <w:b/>
          <w:sz w:val="24"/>
          <w:szCs w:val="24"/>
          <w:u w:val="single"/>
        </w:rPr>
        <w:t>7213 – Military Personnel Loans</w:t>
      </w:r>
    </w:p>
    <w:p w14:paraId="63F4EA74" w14:textId="47448F58" w:rsidR="00BD590E" w:rsidRPr="00403098" w:rsidRDefault="00BD590E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2B9D146F" w14:textId="63F7735A" w:rsidR="00704D82" w:rsidRPr="00403098" w:rsidRDefault="00BD590E" w:rsidP="00522EA6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The Military Personnel Loans policy was updated to </w:t>
      </w:r>
      <w:r w:rsidR="004B5D51" w:rsidRPr="00403098">
        <w:rPr>
          <w:rFonts w:cstheme="minorHAnsi"/>
          <w:bCs/>
          <w:sz w:val="24"/>
          <w:szCs w:val="24"/>
        </w:rPr>
        <w:t>include the Space Force and commissioned corps of the National Oceanic and Atmospheric administration and commissioned corps of the Public Health Service.  The policy was also updated to inc</w:t>
      </w:r>
      <w:r w:rsidR="009824E1" w:rsidRPr="00403098">
        <w:rPr>
          <w:rFonts w:cstheme="minorHAnsi"/>
          <w:bCs/>
          <w:sz w:val="24"/>
          <w:szCs w:val="24"/>
        </w:rPr>
        <w:t xml:space="preserve">lude the interpretive guidance Q&amp;A that allows credit unions to utilize an ITIN to search if a borrower is covered under the </w:t>
      </w:r>
      <w:r w:rsidR="00F64FEC" w:rsidRPr="00403098">
        <w:rPr>
          <w:rFonts w:cstheme="minorHAnsi"/>
          <w:bCs/>
          <w:sz w:val="24"/>
          <w:szCs w:val="24"/>
        </w:rPr>
        <w:t>MLA.</w:t>
      </w:r>
      <w:r w:rsidR="00704D82" w:rsidRPr="00403098">
        <w:rPr>
          <w:rFonts w:cstheme="minorHAnsi"/>
          <w:bCs/>
          <w:sz w:val="24"/>
          <w:szCs w:val="24"/>
        </w:rPr>
        <w:t xml:space="preserve">  Last but not least, the previous requirement to keep the MLA disclosures separate from Regulation Z disclosures has been removed.</w:t>
      </w:r>
      <w:r w:rsidR="008A3063" w:rsidRPr="00403098">
        <w:rPr>
          <w:rFonts w:cstheme="minorHAnsi"/>
          <w:bCs/>
          <w:sz w:val="24"/>
          <w:szCs w:val="24"/>
        </w:rPr>
        <w:t xml:space="preserve"> </w:t>
      </w:r>
      <w:r w:rsidR="00704D82"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6A7A8F31" w14:textId="77777777" w:rsidR="001D41A7" w:rsidRPr="00403098" w:rsidRDefault="001D41A7" w:rsidP="00522EA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E410CB4" w14:textId="23E93F23" w:rsidR="000F2717" w:rsidRPr="00403098" w:rsidRDefault="00C019D8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 xml:space="preserve">Policy </w:t>
      </w:r>
      <w:r w:rsidR="000F2717" w:rsidRPr="00403098">
        <w:rPr>
          <w:rFonts w:cstheme="minorHAnsi"/>
          <w:b/>
          <w:sz w:val="24"/>
          <w:szCs w:val="24"/>
          <w:u w:val="single"/>
        </w:rPr>
        <w:t>7218 – Payday Alternative Loans (PALs)</w:t>
      </w:r>
    </w:p>
    <w:p w14:paraId="410B26B0" w14:textId="16C60991" w:rsidR="000F2717" w:rsidRPr="00403098" w:rsidRDefault="000F2717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5510EB2E" w14:textId="1C6FB3BD" w:rsidR="001B77D0" w:rsidRPr="00403098" w:rsidRDefault="000F2717" w:rsidP="00522EA6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This policy was revised as a result of the </w:t>
      </w:r>
      <w:hyperlink r:id="rId11" w:history="1">
        <w:r w:rsidRPr="00403098">
          <w:rPr>
            <w:rStyle w:val="Hyperlink"/>
            <w:rFonts w:cstheme="minorHAnsi"/>
            <w:bCs/>
            <w:sz w:val="24"/>
            <w:szCs w:val="24"/>
          </w:rPr>
          <w:t>most recent final rule</w:t>
        </w:r>
      </w:hyperlink>
      <w:r w:rsidRPr="00403098">
        <w:rPr>
          <w:rFonts w:cstheme="minorHAnsi"/>
          <w:bCs/>
          <w:sz w:val="24"/>
          <w:szCs w:val="24"/>
        </w:rPr>
        <w:t xml:space="preserve"> coming out of the CFP</w:t>
      </w:r>
      <w:r w:rsidR="003F120D" w:rsidRPr="00403098">
        <w:rPr>
          <w:rFonts w:cstheme="minorHAnsi"/>
          <w:bCs/>
          <w:sz w:val="24"/>
          <w:szCs w:val="24"/>
        </w:rPr>
        <w:t xml:space="preserve">B on the Payday Alternative Loans that eliminated the mandatory underwriting provisions previously expected to become effective in November 2020.  As part of this rule, new commentary was provided regarding the </w:t>
      </w:r>
      <w:r w:rsidR="00F35AAC" w:rsidRPr="00403098">
        <w:rPr>
          <w:rFonts w:cstheme="minorHAnsi"/>
          <w:bCs/>
          <w:sz w:val="24"/>
          <w:szCs w:val="24"/>
        </w:rPr>
        <w:t>prior exemption for the NCUA’s Payday Alternative Loan</w:t>
      </w:r>
      <w:r w:rsidR="001B77D0" w:rsidRPr="00403098">
        <w:rPr>
          <w:rFonts w:cstheme="minorHAnsi"/>
          <w:bCs/>
          <w:sz w:val="24"/>
          <w:szCs w:val="24"/>
        </w:rPr>
        <w:t xml:space="preserve"> (PAL)</w:t>
      </w:r>
      <w:r w:rsidR="00F35AAC" w:rsidRPr="00403098">
        <w:rPr>
          <w:rFonts w:cstheme="minorHAnsi"/>
          <w:bCs/>
          <w:sz w:val="24"/>
          <w:szCs w:val="24"/>
        </w:rPr>
        <w:t xml:space="preserve"> 1</w:t>
      </w:r>
      <w:r w:rsidR="001B77D0" w:rsidRPr="00403098">
        <w:rPr>
          <w:rFonts w:cstheme="minorHAnsi"/>
          <w:bCs/>
          <w:sz w:val="24"/>
          <w:szCs w:val="24"/>
        </w:rPr>
        <w:t xml:space="preserve">, clarifying that the NCUA’s revised PAL 2 did not have the same exemption under the CFPB’s rules.  However, because of the way credit unions structure their PALs (both 1 and 2) loans, </w:t>
      </w:r>
      <w:hyperlink r:id="rId12" w:history="1">
        <w:r w:rsidR="001B77D0" w:rsidRPr="00403098">
          <w:rPr>
            <w:rStyle w:val="Hyperlink"/>
            <w:rFonts w:cstheme="minorHAnsi"/>
            <w:bCs/>
            <w:sz w:val="24"/>
            <w:szCs w:val="24"/>
          </w:rPr>
          <w:t>generally they will both be exempt</w:t>
        </w:r>
      </w:hyperlink>
      <w:r w:rsidR="001B77D0" w:rsidRPr="00403098">
        <w:rPr>
          <w:rFonts w:cstheme="minorHAnsi"/>
          <w:bCs/>
          <w:sz w:val="24"/>
          <w:szCs w:val="24"/>
        </w:rPr>
        <w:t xml:space="preserve"> from the CFPB’s rules.  That clarification has been added to the policy.</w:t>
      </w:r>
      <w:r w:rsidR="008A3063" w:rsidRPr="00403098">
        <w:rPr>
          <w:rFonts w:cstheme="minorHAnsi"/>
          <w:bCs/>
          <w:sz w:val="24"/>
          <w:szCs w:val="24"/>
        </w:rPr>
        <w:t xml:space="preserve"> </w:t>
      </w:r>
      <w:r w:rsidR="001B77D0"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2E64F8E5" w14:textId="77777777" w:rsidR="002B26CF" w:rsidRPr="00403098" w:rsidRDefault="002B26CF" w:rsidP="00522EA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3E5E5D24" w14:textId="77777777" w:rsidR="00403098" w:rsidRDefault="00403098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BA7D556" w14:textId="77777777" w:rsidR="00403098" w:rsidRDefault="00403098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FDAD929" w14:textId="77777777" w:rsidR="00403098" w:rsidRDefault="00403098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9259BC7" w14:textId="60B0207A" w:rsidR="002B26CF" w:rsidRPr="00403098" w:rsidRDefault="002B26CF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lastRenderedPageBreak/>
        <w:t>Policy 7362 –</w:t>
      </w:r>
      <w:r w:rsidR="00B1080B" w:rsidRPr="00403098">
        <w:rPr>
          <w:rFonts w:cstheme="minorHAnsi"/>
          <w:b/>
          <w:sz w:val="24"/>
          <w:szCs w:val="24"/>
          <w:u w:val="single"/>
        </w:rPr>
        <w:t xml:space="preserve"> Temporary Policy for Loan Modifications and Reporting – COVID-19</w:t>
      </w:r>
    </w:p>
    <w:p w14:paraId="26F23746" w14:textId="21AE17A4" w:rsidR="002B26CF" w:rsidRPr="00403098" w:rsidRDefault="00B413EC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53D11561" w14:textId="3FE0E5A8" w:rsidR="00261C1A" w:rsidRPr="00403098" w:rsidRDefault="00B413EC" w:rsidP="00522EA6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>This policy was revised to take into consideration</w:t>
      </w:r>
      <w:r w:rsidR="00620382" w:rsidRPr="00403098">
        <w:rPr>
          <w:rFonts w:cstheme="minorHAnsi"/>
          <w:bCs/>
          <w:sz w:val="24"/>
          <w:szCs w:val="24"/>
        </w:rPr>
        <w:t xml:space="preserve"> the </w:t>
      </w:r>
      <w:hyperlink r:id="rId13" w:history="1">
        <w:r w:rsidR="00001E30" w:rsidRPr="00403098">
          <w:rPr>
            <w:rStyle w:val="Hyperlink"/>
            <w:rFonts w:cstheme="minorHAnsi"/>
            <w:bCs/>
            <w:sz w:val="24"/>
            <w:szCs w:val="24"/>
          </w:rPr>
          <w:t>Joint Statement on Additional Loan accommodations Related to COVID-19</w:t>
        </w:r>
      </w:hyperlink>
      <w:r w:rsidR="00FA6A1C" w:rsidRPr="00403098">
        <w:rPr>
          <w:rFonts w:cstheme="minorHAnsi"/>
          <w:bCs/>
          <w:sz w:val="24"/>
          <w:szCs w:val="24"/>
        </w:rPr>
        <w:t xml:space="preserve">.  Specifically, </w:t>
      </w:r>
      <w:r w:rsidR="00E90CB4" w:rsidRPr="00403098">
        <w:rPr>
          <w:rFonts w:cstheme="minorHAnsi"/>
          <w:bCs/>
          <w:sz w:val="24"/>
          <w:szCs w:val="24"/>
        </w:rPr>
        <w:t xml:space="preserve">risk management considerations were added to assist </w:t>
      </w:r>
      <w:r w:rsidR="00261C1A" w:rsidRPr="00403098">
        <w:rPr>
          <w:rFonts w:cstheme="minorHAnsi"/>
          <w:bCs/>
          <w:sz w:val="24"/>
          <w:szCs w:val="24"/>
        </w:rPr>
        <w:t>credit unions.</w:t>
      </w:r>
      <w:r w:rsidR="008A3063" w:rsidRPr="00403098">
        <w:rPr>
          <w:rFonts w:cstheme="minorHAnsi"/>
          <w:bCs/>
          <w:sz w:val="24"/>
          <w:szCs w:val="24"/>
        </w:rPr>
        <w:t xml:space="preserve"> </w:t>
      </w:r>
      <w:r w:rsidR="00261C1A" w:rsidRPr="00403098">
        <w:rPr>
          <w:rFonts w:cstheme="minorHAnsi"/>
          <w:b/>
          <w:color w:val="FF0000"/>
          <w:sz w:val="24"/>
          <w:szCs w:val="24"/>
        </w:rPr>
        <w:t>(Recommended)</w:t>
      </w:r>
    </w:p>
    <w:p w14:paraId="6A6312F8" w14:textId="77777777" w:rsidR="00261C1A" w:rsidRPr="00403098" w:rsidRDefault="00261C1A" w:rsidP="00522EA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712F73F" w14:textId="082A6D8A" w:rsidR="00F71EE9" w:rsidRPr="00F71EE9" w:rsidRDefault="00F71EE9" w:rsidP="00F71EE9">
      <w:pPr>
        <w:rPr>
          <w:rFonts w:cstheme="minorHAnsi"/>
          <w:b/>
          <w:sz w:val="24"/>
          <w:szCs w:val="24"/>
          <w:u w:val="single"/>
        </w:rPr>
      </w:pPr>
      <w:r w:rsidRPr="00F71EE9">
        <w:rPr>
          <w:rFonts w:cstheme="minorHAnsi"/>
          <w:b/>
          <w:sz w:val="24"/>
          <w:szCs w:val="24"/>
          <w:u w:val="single"/>
        </w:rPr>
        <w:t>Policy 7436 – CARES Act – Small Business Administration SBA Loans</w:t>
      </w:r>
      <w:r>
        <w:rPr>
          <w:rFonts w:cstheme="minorHAnsi"/>
          <w:b/>
          <w:sz w:val="24"/>
          <w:szCs w:val="24"/>
          <w:u w:val="single"/>
        </w:rPr>
        <w:br/>
      </w:r>
      <w:r w:rsidRPr="00F71EE9">
        <w:rPr>
          <w:rFonts w:cstheme="minorHAnsi"/>
          <w:b/>
          <w:sz w:val="24"/>
          <w:szCs w:val="24"/>
          <w:u w:val="single"/>
        </w:rPr>
        <w:t>2020-5</w:t>
      </w:r>
    </w:p>
    <w:p w14:paraId="2DA42F63" w14:textId="77777777" w:rsidR="00F71EE9" w:rsidRDefault="00F71EE9" w:rsidP="00F71EE9">
      <w:pPr>
        <w:rPr>
          <w:sz w:val="24"/>
          <w:szCs w:val="24"/>
        </w:rPr>
      </w:pPr>
      <w:r>
        <w:rPr>
          <w:sz w:val="24"/>
          <w:szCs w:val="24"/>
        </w:rPr>
        <w:t xml:space="preserve">This policy was revised to correct the deferral amount of the loan payments, which was extended from 6 months to 10 months.  </w:t>
      </w:r>
      <w:r>
        <w:rPr>
          <w:b/>
          <w:bCs/>
          <w:color w:val="FF0000"/>
          <w:sz w:val="24"/>
          <w:szCs w:val="24"/>
        </w:rPr>
        <w:t>(Recommended if offered)</w:t>
      </w:r>
    </w:p>
    <w:p w14:paraId="47A9871A" w14:textId="4D4D47E8" w:rsidR="00AF419A" w:rsidRPr="00403098" w:rsidRDefault="00AF419A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Policy 10012 – Record Retention – Tax Records</w:t>
      </w:r>
    </w:p>
    <w:p w14:paraId="449BFF6D" w14:textId="62FE212C" w:rsidR="00AF419A" w:rsidRPr="00403098" w:rsidRDefault="00AF419A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4F4B53C2" w14:textId="65CA6323" w:rsidR="00AF419A" w:rsidRPr="00403098" w:rsidRDefault="00036591" w:rsidP="00522EA6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 xml:space="preserve">This policy was revised to include up-to-date guidance from the IRS regarding general instructions for information returns that </w:t>
      </w:r>
      <w:r w:rsidR="00B110BE" w:rsidRPr="00403098">
        <w:rPr>
          <w:rFonts w:cstheme="minorHAnsi"/>
          <w:bCs/>
          <w:sz w:val="24"/>
          <w:szCs w:val="24"/>
        </w:rPr>
        <w:t xml:space="preserve">a credit union may file, </w:t>
      </w:r>
      <w:r w:rsidR="00496DCD" w:rsidRPr="00403098">
        <w:rPr>
          <w:rFonts w:cstheme="minorHAnsi"/>
          <w:bCs/>
          <w:sz w:val="24"/>
          <w:szCs w:val="24"/>
        </w:rPr>
        <w:t xml:space="preserve">including </w:t>
      </w:r>
      <w:r w:rsidR="00B110BE" w:rsidRPr="00403098">
        <w:rPr>
          <w:rFonts w:cstheme="minorHAnsi"/>
          <w:bCs/>
          <w:sz w:val="24"/>
          <w:szCs w:val="24"/>
        </w:rPr>
        <w:t>employment tax recordkeeping, etc.</w:t>
      </w:r>
      <w:r w:rsidR="008A3063" w:rsidRPr="00403098">
        <w:rPr>
          <w:rFonts w:cstheme="minorHAnsi"/>
          <w:bCs/>
          <w:sz w:val="24"/>
          <w:szCs w:val="24"/>
        </w:rPr>
        <w:t xml:space="preserve"> </w:t>
      </w:r>
      <w:r w:rsidR="00B110BE" w:rsidRPr="00403098">
        <w:rPr>
          <w:rFonts w:cstheme="minorHAnsi"/>
          <w:b/>
          <w:color w:val="FF0000"/>
          <w:sz w:val="24"/>
          <w:szCs w:val="24"/>
        </w:rPr>
        <w:t>(Recommended)</w:t>
      </w:r>
      <w:r w:rsidRPr="00403098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0706475" w14:textId="77777777" w:rsidR="00036591" w:rsidRPr="00403098" w:rsidRDefault="00036591" w:rsidP="00522EA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DB2BD00" w14:textId="44081B20" w:rsidR="00AF419A" w:rsidRPr="00403098" w:rsidRDefault="00C019D8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 xml:space="preserve">Policy </w:t>
      </w:r>
      <w:r w:rsidR="00916F50" w:rsidRPr="00403098">
        <w:rPr>
          <w:rFonts w:cstheme="minorHAnsi"/>
          <w:b/>
          <w:sz w:val="24"/>
          <w:szCs w:val="24"/>
          <w:u w:val="single"/>
        </w:rPr>
        <w:t xml:space="preserve">11002 – Furnishing Information to </w:t>
      </w:r>
      <w:r w:rsidR="008335B0" w:rsidRPr="00403098">
        <w:rPr>
          <w:rFonts w:cstheme="minorHAnsi"/>
          <w:b/>
          <w:sz w:val="24"/>
          <w:szCs w:val="24"/>
          <w:u w:val="single"/>
        </w:rPr>
        <w:t>Credit Reporting Agencies</w:t>
      </w:r>
    </w:p>
    <w:p w14:paraId="55366449" w14:textId="5A564640" w:rsidR="008335B0" w:rsidRPr="00403098" w:rsidRDefault="008335B0" w:rsidP="00522EA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3098">
        <w:rPr>
          <w:rFonts w:cstheme="minorHAnsi"/>
          <w:b/>
          <w:sz w:val="24"/>
          <w:szCs w:val="24"/>
          <w:u w:val="single"/>
        </w:rPr>
        <w:t>2020-5</w:t>
      </w:r>
    </w:p>
    <w:p w14:paraId="11271A8C" w14:textId="62CB220C" w:rsidR="00082E21" w:rsidRPr="008A3063" w:rsidRDefault="008335B0" w:rsidP="00522EA6">
      <w:pPr>
        <w:spacing w:after="0" w:line="240" w:lineRule="auto"/>
        <w:rPr>
          <w:rFonts w:cstheme="minorHAnsi"/>
          <w:bCs/>
          <w:sz w:val="24"/>
          <w:szCs w:val="24"/>
        </w:rPr>
      </w:pPr>
      <w:r w:rsidRPr="00403098">
        <w:rPr>
          <w:rFonts w:cstheme="minorHAnsi"/>
          <w:bCs/>
          <w:sz w:val="24"/>
          <w:szCs w:val="24"/>
        </w:rPr>
        <w:t>Policy 11002 was revised to correct a reference</w:t>
      </w:r>
      <w:r w:rsidR="00082E21" w:rsidRPr="00403098">
        <w:rPr>
          <w:rFonts w:cstheme="minorHAnsi"/>
          <w:bCs/>
          <w:sz w:val="24"/>
          <w:szCs w:val="24"/>
        </w:rPr>
        <w:t>.</w:t>
      </w:r>
      <w:r w:rsidR="008A3063" w:rsidRPr="00403098">
        <w:rPr>
          <w:rFonts w:cstheme="minorHAnsi"/>
          <w:bCs/>
          <w:sz w:val="24"/>
          <w:szCs w:val="24"/>
        </w:rPr>
        <w:t xml:space="preserve"> </w:t>
      </w:r>
      <w:r w:rsidR="00082E21" w:rsidRPr="00403098">
        <w:rPr>
          <w:rFonts w:cstheme="minorHAnsi"/>
          <w:b/>
          <w:color w:val="FF0000"/>
          <w:sz w:val="24"/>
          <w:szCs w:val="24"/>
        </w:rPr>
        <w:t>(Recommended)</w:t>
      </w:r>
    </w:p>
    <w:sectPr w:rsidR="00082E21" w:rsidRPr="008A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4FF1"/>
    <w:multiLevelType w:val="hybridMultilevel"/>
    <w:tmpl w:val="707A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A67"/>
    <w:multiLevelType w:val="hybridMultilevel"/>
    <w:tmpl w:val="5CEE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C13"/>
    <w:multiLevelType w:val="hybridMultilevel"/>
    <w:tmpl w:val="5EC8AF30"/>
    <w:lvl w:ilvl="0" w:tplc="4EE2950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8A752E"/>
    <w:multiLevelType w:val="hybridMultilevel"/>
    <w:tmpl w:val="7D86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3CCA"/>
    <w:multiLevelType w:val="hybridMultilevel"/>
    <w:tmpl w:val="822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4B85"/>
    <w:multiLevelType w:val="hybridMultilevel"/>
    <w:tmpl w:val="9BE4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F7D"/>
    <w:multiLevelType w:val="hybridMultilevel"/>
    <w:tmpl w:val="0FE4FF90"/>
    <w:lvl w:ilvl="0" w:tplc="D624C4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BE3812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  <w:dstrike w:val="0"/>
        <w:color w:val="000000" w:themeColor="text1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57"/>
    <w:rsid w:val="00001E30"/>
    <w:rsid w:val="00002B01"/>
    <w:rsid w:val="00003E2D"/>
    <w:rsid w:val="00006D8C"/>
    <w:rsid w:val="000123CA"/>
    <w:rsid w:val="0001733D"/>
    <w:rsid w:val="0002152F"/>
    <w:rsid w:val="00023163"/>
    <w:rsid w:val="00025A51"/>
    <w:rsid w:val="0002721A"/>
    <w:rsid w:val="0003090B"/>
    <w:rsid w:val="0003148D"/>
    <w:rsid w:val="00036591"/>
    <w:rsid w:val="00036C5C"/>
    <w:rsid w:val="00043A27"/>
    <w:rsid w:val="00052640"/>
    <w:rsid w:val="00053DF0"/>
    <w:rsid w:val="00056765"/>
    <w:rsid w:val="00056B90"/>
    <w:rsid w:val="00057634"/>
    <w:rsid w:val="00064C94"/>
    <w:rsid w:val="000677A6"/>
    <w:rsid w:val="00072BCC"/>
    <w:rsid w:val="000736F9"/>
    <w:rsid w:val="00073BB0"/>
    <w:rsid w:val="0007433A"/>
    <w:rsid w:val="000750FA"/>
    <w:rsid w:val="00076C57"/>
    <w:rsid w:val="00082E21"/>
    <w:rsid w:val="00084457"/>
    <w:rsid w:val="00084EE7"/>
    <w:rsid w:val="000854CC"/>
    <w:rsid w:val="00086B7E"/>
    <w:rsid w:val="00087D24"/>
    <w:rsid w:val="0009500F"/>
    <w:rsid w:val="000953A9"/>
    <w:rsid w:val="000964A6"/>
    <w:rsid w:val="0009699C"/>
    <w:rsid w:val="000A3C56"/>
    <w:rsid w:val="000B1CD0"/>
    <w:rsid w:val="000B477C"/>
    <w:rsid w:val="000B5937"/>
    <w:rsid w:val="000B6C08"/>
    <w:rsid w:val="000C5898"/>
    <w:rsid w:val="000C7196"/>
    <w:rsid w:val="000D015A"/>
    <w:rsid w:val="000D0483"/>
    <w:rsid w:val="000D1455"/>
    <w:rsid w:val="000D1FAF"/>
    <w:rsid w:val="000D472F"/>
    <w:rsid w:val="000E0C8F"/>
    <w:rsid w:val="000E0EDE"/>
    <w:rsid w:val="000E34AD"/>
    <w:rsid w:val="000E3BCB"/>
    <w:rsid w:val="000E5BD5"/>
    <w:rsid w:val="000F078F"/>
    <w:rsid w:val="000F2717"/>
    <w:rsid w:val="000F35A9"/>
    <w:rsid w:val="000F5374"/>
    <w:rsid w:val="000F63F3"/>
    <w:rsid w:val="00100C21"/>
    <w:rsid w:val="00101CD1"/>
    <w:rsid w:val="00104480"/>
    <w:rsid w:val="0011630C"/>
    <w:rsid w:val="00121642"/>
    <w:rsid w:val="0012252A"/>
    <w:rsid w:val="00126EFC"/>
    <w:rsid w:val="001278EF"/>
    <w:rsid w:val="0013118B"/>
    <w:rsid w:val="00136D27"/>
    <w:rsid w:val="00137F8E"/>
    <w:rsid w:val="00142C52"/>
    <w:rsid w:val="00143ED1"/>
    <w:rsid w:val="001542DC"/>
    <w:rsid w:val="00165955"/>
    <w:rsid w:val="001708EE"/>
    <w:rsid w:val="001728C9"/>
    <w:rsid w:val="00173ACB"/>
    <w:rsid w:val="0017608A"/>
    <w:rsid w:val="00176495"/>
    <w:rsid w:val="00181199"/>
    <w:rsid w:val="001823CD"/>
    <w:rsid w:val="00182FEE"/>
    <w:rsid w:val="001832AE"/>
    <w:rsid w:val="001922F1"/>
    <w:rsid w:val="001956B5"/>
    <w:rsid w:val="001A77A3"/>
    <w:rsid w:val="001B2BE8"/>
    <w:rsid w:val="001B49DF"/>
    <w:rsid w:val="001B5902"/>
    <w:rsid w:val="001B64FC"/>
    <w:rsid w:val="001B77D0"/>
    <w:rsid w:val="001C4B9F"/>
    <w:rsid w:val="001C6C16"/>
    <w:rsid w:val="001D3012"/>
    <w:rsid w:val="001D34A2"/>
    <w:rsid w:val="001D41A7"/>
    <w:rsid w:val="001D4CA7"/>
    <w:rsid w:val="001D75D2"/>
    <w:rsid w:val="001D77CF"/>
    <w:rsid w:val="001E14A3"/>
    <w:rsid w:val="001E4937"/>
    <w:rsid w:val="001F4B44"/>
    <w:rsid w:val="001F5B13"/>
    <w:rsid w:val="002019DA"/>
    <w:rsid w:val="00205D14"/>
    <w:rsid w:val="00214CC4"/>
    <w:rsid w:val="00220571"/>
    <w:rsid w:val="002205F4"/>
    <w:rsid w:val="00223840"/>
    <w:rsid w:val="00227367"/>
    <w:rsid w:val="00227D01"/>
    <w:rsid w:val="00230C62"/>
    <w:rsid w:val="00240E67"/>
    <w:rsid w:val="00242F50"/>
    <w:rsid w:val="00251034"/>
    <w:rsid w:val="00256504"/>
    <w:rsid w:val="00261C1A"/>
    <w:rsid w:val="002628FD"/>
    <w:rsid w:val="002718A5"/>
    <w:rsid w:val="00273D12"/>
    <w:rsid w:val="00277CE6"/>
    <w:rsid w:val="00277EC6"/>
    <w:rsid w:val="00281ED4"/>
    <w:rsid w:val="0028285B"/>
    <w:rsid w:val="002835ED"/>
    <w:rsid w:val="00285C57"/>
    <w:rsid w:val="00285F7A"/>
    <w:rsid w:val="00287B26"/>
    <w:rsid w:val="00287E3C"/>
    <w:rsid w:val="00287E90"/>
    <w:rsid w:val="002910F6"/>
    <w:rsid w:val="00293C82"/>
    <w:rsid w:val="00294E76"/>
    <w:rsid w:val="00296175"/>
    <w:rsid w:val="002B0092"/>
    <w:rsid w:val="002B020B"/>
    <w:rsid w:val="002B1032"/>
    <w:rsid w:val="002B26CF"/>
    <w:rsid w:val="002B5105"/>
    <w:rsid w:val="002C0321"/>
    <w:rsid w:val="002C04E5"/>
    <w:rsid w:val="002C253B"/>
    <w:rsid w:val="002C5134"/>
    <w:rsid w:val="002C69F2"/>
    <w:rsid w:val="002C7256"/>
    <w:rsid w:val="002C7315"/>
    <w:rsid w:val="002D6596"/>
    <w:rsid w:val="002E7FE5"/>
    <w:rsid w:val="002F0B2C"/>
    <w:rsid w:val="002F34AC"/>
    <w:rsid w:val="002F3EEE"/>
    <w:rsid w:val="002F5447"/>
    <w:rsid w:val="002F5864"/>
    <w:rsid w:val="002F6996"/>
    <w:rsid w:val="00301DA4"/>
    <w:rsid w:val="003104A9"/>
    <w:rsid w:val="003148DA"/>
    <w:rsid w:val="00314BCE"/>
    <w:rsid w:val="00323D5F"/>
    <w:rsid w:val="00326F69"/>
    <w:rsid w:val="00333028"/>
    <w:rsid w:val="00336B98"/>
    <w:rsid w:val="00341E17"/>
    <w:rsid w:val="00344172"/>
    <w:rsid w:val="00344B80"/>
    <w:rsid w:val="00352E59"/>
    <w:rsid w:val="00353904"/>
    <w:rsid w:val="00354C34"/>
    <w:rsid w:val="003569A7"/>
    <w:rsid w:val="003573C8"/>
    <w:rsid w:val="00365392"/>
    <w:rsid w:val="00371C65"/>
    <w:rsid w:val="00374B30"/>
    <w:rsid w:val="00383D5B"/>
    <w:rsid w:val="00385B1E"/>
    <w:rsid w:val="0038666D"/>
    <w:rsid w:val="003900FC"/>
    <w:rsid w:val="00390A51"/>
    <w:rsid w:val="003A01FB"/>
    <w:rsid w:val="003A0E5C"/>
    <w:rsid w:val="003A0FF7"/>
    <w:rsid w:val="003A4DFE"/>
    <w:rsid w:val="003A5509"/>
    <w:rsid w:val="003B0070"/>
    <w:rsid w:val="003B52DE"/>
    <w:rsid w:val="003B6377"/>
    <w:rsid w:val="003B6A1A"/>
    <w:rsid w:val="003C009D"/>
    <w:rsid w:val="003C7028"/>
    <w:rsid w:val="003D2F1F"/>
    <w:rsid w:val="003D69E3"/>
    <w:rsid w:val="003E3375"/>
    <w:rsid w:val="003F120D"/>
    <w:rsid w:val="003F59A2"/>
    <w:rsid w:val="003F5BE3"/>
    <w:rsid w:val="003F7E4A"/>
    <w:rsid w:val="00401CD0"/>
    <w:rsid w:val="00403098"/>
    <w:rsid w:val="00404633"/>
    <w:rsid w:val="00404D39"/>
    <w:rsid w:val="00406C1D"/>
    <w:rsid w:val="00407DC4"/>
    <w:rsid w:val="004100E7"/>
    <w:rsid w:val="004102B8"/>
    <w:rsid w:val="004123BB"/>
    <w:rsid w:val="00417C0C"/>
    <w:rsid w:val="004218FE"/>
    <w:rsid w:val="0042723F"/>
    <w:rsid w:val="004272F0"/>
    <w:rsid w:val="0043486A"/>
    <w:rsid w:val="004358DE"/>
    <w:rsid w:val="00440D45"/>
    <w:rsid w:val="0044399B"/>
    <w:rsid w:val="0044719B"/>
    <w:rsid w:val="00452738"/>
    <w:rsid w:val="00455757"/>
    <w:rsid w:val="0045718C"/>
    <w:rsid w:val="00457557"/>
    <w:rsid w:val="00460696"/>
    <w:rsid w:val="0047775B"/>
    <w:rsid w:val="00496DCD"/>
    <w:rsid w:val="004A0DFD"/>
    <w:rsid w:val="004A3EEB"/>
    <w:rsid w:val="004A5459"/>
    <w:rsid w:val="004A57BC"/>
    <w:rsid w:val="004B0CF6"/>
    <w:rsid w:val="004B5D51"/>
    <w:rsid w:val="004C15BB"/>
    <w:rsid w:val="004C7595"/>
    <w:rsid w:val="004D08C9"/>
    <w:rsid w:val="004E07CC"/>
    <w:rsid w:val="004E1305"/>
    <w:rsid w:val="004E30DD"/>
    <w:rsid w:val="004E59B7"/>
    <w:rsid w:val="00505180"/>
    <w:rsid w:val="005052C3"/>
    <w:rsid w:val="0050609E"/>
    <w:rsid w:val="0051174C"/>
    <w:rsid w:val="0051717C"/>
    <w:rsid w:val="00517384"/>
    <w:rsid w:val="00522CDE"/>
    <w:rsid w:val="00522EA6"/>
    <w:rsid w:val="00524D42"/>
    <w:rsid w:val="00525EDE"/>
    <w:rsid w:val="00531393"/>
    <w:rsid w:val="00533D92"/>
    <w:rsid w:val="005347EB"/>
    <w:rsid w:val="0053584C"/>
    <w:rsid w:val="005369FC"/>
    <w:rsid w:val="00537FD0"/>
    <w:rsid w:val="00542695"/>
    <w:rsid w:val="00543E12"/>
    <w:rsid w:val="00543EAE"/>
    <w:rsid w:val="00551E6B"/>
    <w:rsid w:val="005561D5"/>
    <w:rsid w:val="00556462"/>
    <w:rsid w:val="00566BE8"/>
    <w:rsid w:val="0056773D"/>
    <w:rsid w:val="00571570"/>
    <w:rsid w:val="00572C41"/>
    <w:rsid w:val="00572C6F"/>
    <w:rsid w:val="00574348"/>
    <w:rsid w:val="00574FC3"/>
    <w:rsid w:val="005754EE"/>
    <w:rsid w:val="00576ECF"/>
    <w:rsid w:val="00581640"/>
    <w:rsid w:val="005901C0"/>
    <w:rsid w:val="005923FA"/>
    <w:rsid w:val="005A0006"/>
    <w:rsid w:val="005A3DB1"/>
    <w:rsid w:val="005A5B7C"/>
    <w:rsid w:val="005A700D"/>
    <w:rsid w:val="005B3AA9"/>
    <w:rsid w:val="005C430D"/>
    <w:rsid w:val="005C6B99"/>
    <w:rsid w:val="005D23AC"/>
    <w:rsid w:val="005D3710"/>
    <w:rsid w:val="005F0878"/>
    <w:rsid w:val="005F1BB0"/>
    <w:rsid w:val="005F47A0"/>
    <w:rsid w:val="005F51FF"/>
    <w:rsid w:val="005F6796"/>
    <w:rsid w:val="005F7B3F"/>
    <w:rsid w:val="0060153F"/>
    <w:rsid w:val="00602C49"/>
    <w:rsid w:val="00605075"/>
    <w:rsid w:val="00605C68"/>
    <w:rsid w:val="00616DA9"/>
    <w:rsid w:val="00620382"/>
    <w:rsid w:val="00624596"/>
    <w:rsid w:val="00625084"/>
    <w:rsid w:val="006318C1"/>
    <w:rsid w:val="006373A8"/>
    <w:rsid w:val="00647FA5"/>
    <w:rsid w:val="0065583A"/>
    <w:rsid w:val="006558FA"/>
    <w:rsid w:val="00655907"/>
    <w:rsid w:val="00656667"/>
    <w:rsid w:val="00656DBE"/>
    <w:rsid w:val="00656E6B"/>
    <w:rsid w:val="00660EEE"/>
    <w:rsid w:val="00665309"/>
    <w:rsid w:val="006727DB"/>
    <w:rsid w:val="00673B79"/>
    <w:rsid w:val="006754B2"/>
    <w:rsid w:val="00676869"/>
    <w:rsid w:val="00676875"/>
    <w:rsid w:val="006803F5"/>
    <w:rsid w:val="00685302"/>
    <w:rsid w:val="00687716"/>
    <w:rsid w:val="006A05B4"/>
    <w:rsid w:val="006A3BEF"/>
    <w:rsid w:val="006A742E"/>
    <w:rsid w:val="006A76EB"/>
    <w:rsid w:val="006B0FDA"/>
    <w:rsid w:val="006B7D0C"/>
    <w:rsid w:val="006C57CF"/>
    <w:rsid w:val="006D27FC"/>
    <w:rsid w:val="006E0D30"/>
    <w:rsid w:val="006F5E2B"/>
    <w:rsid w:val="006F6467"/>
    <w:rsid w:val="00704D82"/>
    <w:rsid w:val="00706B1C"/>
    <w:rsid w:val="00713E81"/>
    <w:rsid w:val="00716D4A"/>
    <w:rsid w:val="007175CC"/>
    <w:rsid w:val="00720569"/>
    <w:rsid w:val="00722949"/>
    <w:rsid w:val="00723CF3"/>
    <w:rsid w:val="00726C7F"/>
    <w:rsid w:val="00731796"/>
    <w:rsid w:val="00743D38"/>
    <w:rsid w:val="0074735F"/>
    <w:rsid w:val="007473F4"/>
    <w:rsid w:val="00747583"/>
    <w:rsid w:val="00755CF1"/>
    <w:rsid w:val="007565EF"/>
    <w:rsid w:val="007574EA"/>
    <w:rsid w:val="00760C27"/>
    <w:rsid w:val="00767A95"/>
    <w:rsid w:val="00767DF3"/>
    <w:rsid w:val="00770141"/>
    <w:rsid w:val="00771015"/>
    <w:rsid w:val="007807AF"/>
    <w:rsid w:val="0078364E"/>
    <w:rsid w:val="00783EF2"/>
    <w:rsid w:val="0079055B"/>
    <w:rsid w:val="00790CE4"/>
    <w:rsid w:val="00792D8A"/>
    <w:rsid w:val="007A1DE6"/>
    <w:rsid w:val="007A4B71"/>
    <w:rsid w:val="007A5BAF"/>
    <w:rsid w:val="007A71C3"/>
    <w:rsid w:val="007A7BB3"/>
    <w:rsid w:val="007B264A"/>
    <w:rsid w:val="007B597F"/>
    <w:rsid w:val="007C1407"/>
    <w:rsid w:val="007C1B85"/>
    <w:rsid w:val="007C3C29"/>
    <w:rsid w:val="007C3C4A"/>
    <w:rsid w:val="007C6D07"/>
    <w:rsid w:val="007C7373"/>
    <w:rsid w:val="007C7BA7"/>
    <w:rsid w:val="007D0CB7"/>
    <w:rsid w:val="007D22F3"/>
    <w:rsid w:val="007D3971"/>
    <w:rsid w:val="007D7154"/>
    <w:rsid w:val="007F0FF1"/>
    <w:rsid w:val="007F693C"/>
    <w:rsid w:val="008049DE"/>
    <w:rsid w:val="00806108"/>
    <w:rsid w:val="00806157"/>
    <w:rsid w:val="008163F6"/>
    <w:rsid w:val="00817EFE"/>
    <w:rsid w:val="00821E5C"/>
    <w:rsid w:val="00824756"/>
    <w:rsid w:val="008335B0"/>
    <w:rsid w:val="008359F7"/>
    <w:rsid w:val="00842DBE"/>
    <w:rsid w:val="00843E3D"/>
    <w:rsid w:val="00853B70"/>
    <w:rsid w:val="00855506"/>
    <w:rsid w:val="0085658A"/>
    <w:rsid w:val="00866BB5"/>
    <w:rsid w:val="008678D0"/>
    <w:rsid w:val="00870983"/>
    <w:rsid w:val="008742C3"/>
    <w:rsid w:val="00876CB9"/>
    <w:rsid w:val="00877D23"/>
    <w:rsid w:val="008832E1"/>
    <w:rsid w:val="00886F25"/>
    <w:rsid w:val="00894DAD"/>
    <w:rsid w:val="00894E21"/>
    <w:rsid w:val="00895B2D"/>
    <w:rsid w:val="008A3063"/>
    <w:rsid w:val="008A3646"/>
    <w:rsid w:val="008A39F8"/>
    <w:rsid w:val="008B01DF"/>
    <w:rsid w:val="008C52A2"/>
    <w:rsid w:val="008C69E7"/>
    <w:rsid w:val="008C6D12"/>
    <w:rsid w:val="008C74C7"/>
    <w:rsid w:val="008D1F0E"/>
    <w:rsid w:val="008D6232"/>
    <w:rsid w:val="008F07EE"/>
    <w:rsid w:val="008F184C"/>
    <w:rsid w:val="008F2DDA"/>
    <w:rsid w:val="008F3CE4"/>
    <w:rsid w:val="008F3FF9"/>
    <w:rsid w:val="009053B0"/>
    <w:rsid w:val="00907283"/>
    <w:rsid w:val="00912D71"/>
    <w:rsid w:val="009140BF"/>
    <w:rsid w:val="00916F50"/>
    <w:rsid w:val="00922D0A"/>
    <w:rsid w:val="00925832"/>
    <w:rsid w:val="00925A46"/>
    <w:rsid w:val="00940087"/>
    <w:rsid w:val="0094249D"/>
    <w:rsid w:val="0094564C"/>
    <w:rsid w:val="0094572A"/>
    <w:rsid w:val="0095348A"/>
    <w:rsid w:val="00953A41"/>
    <w:rsid w:val="009548B1"/>
    <w:rsid w:val="0095568F"/>
    <w:rsid w:val="00955C6E"/>
    <w:rsid w:val="00960F85"/>
    <w:rsid w:val="00964382"/>
    <w:rsid w:val="009650BD"/>
    <w:rsid w:val="00965E7A"/>
    <w:rsid w:val="0097176D"/>
    <w:rsid w:val="009746C1"/>
    <w:rsid w:val="00975699"/>
    <w:rsid w:val="009800C6"/>
    <w:rsid w:val="009824E1"/>
    <w:rsid w:val="00985B7D"/>
    <w:rsid w:val="0099231F"/>
    <w:rsid w:val="00992F6E"/>
    <w:rsid w:val="00996F9B"/>
    <w:rsid w:val="009A0D96"/>
    <w:rsid w:val="009A35AC"/>
    <w:rsid w:val="009A7ABB"/>
    <w:rsid w:val="009B55EF"/>
    <w:rsid w:val="009B7FF0"/>
    <w:rsid w:val="009C7489"/>
    <w:rsid w:val="009D0A49"/>
    <w:rsid w:val="009D17CC"/>
    <w:rsid w:val="009E389F"/>
    <w:rsid w:val="009E54BE"/>
    <w:rsid w:val="009F1050"/>
    <w:rsid w:val="009F275A"/>
    <w:rsid w:val="009F5845"/>
    <w:rsid w:val="00A013A3"/>
    <w:rsid w:val="00A04B7D"/>
    <w:rsid w:val="00A10060"/>
    <w:rsid w:val="00A10995"/>
    <w:rsid w:val="00A10A8F"/>
    <w:rsid w:val="00A11C15"/>
    <w:rsid w:val="00A22CA5"/>
    <w:rsid w:val="00A2314C"/>
    <w:rsid w:val="00A23F05"/>
    <w:rsid w:val="00A25161"/>
    <w:rsid w:val="00A27DA0"/>
    <w:rsid w:val="00A3155B"/>
    <w:rsid w:val="00A3506D"/>
    <w:rsid w:val="00A35276"/>
    <w:rsid w:val="00A35460"/>
    <w:rsid w:val="00A355A6"/>
    <w:rsid w:val="00A37137"/>
    <w:rsid w:val="00A4232E"/>
    <w:rsid w:val="00A43B2D"/>
    <w:rsid w:val="00A43D9D"/>
    <w:rsid w:val="00A43FD4"/>
    <w:rsid w:val="00A4489F"/>
    <w:rsid w:val="00A458E2"/>
    <w:rsid w:val="00A50320"/>
    <w:rsid w:val="00A529ED"/>
    <w:rsid w:val="00A52D65"/>
    <w:rsid w:val="00A55F75"/>
    <w:rsid w:val="00A57C60"/>
    <w:rsid w:val="00A622EA"/>
    <w:rsid w:val="00A63521"/>
    <w:rsid w:val="00A66D4D"/>
    <w:rsid w:val="00A675C6"/>
    <w:rsid w:val="00A678C6"/>
    <w:rsid w:val="00A67EBF"/>
    <w:rsid w:val="00A71944"/>
    <w:rsid w:val="00A72860"/>
    <w:rsid w:val="00A74D1D"/>
    <w:rsid w:val="00A757DF"/>
    <w:rsid w:val="00A76D97"/>
    <w:rsid w:val="00A775A1"/>
    <w:rsid w:val="00A851E5"/>
    <w:rsid w:val="00A858D5"/>
    <w:rsid w:val="00A933D7"/>
    <w:rsid w:val="00A94D5C"/>
    <w:rsid w:val="00A97FEE"/>
    <w:rsid w:val="00AA1EBD"/>
    <w:rsid w:val="00AA1F5C"/>
    <w:rsid w:val="00AA2651"/>
    <w:rsid w:val="00AA3CAB"/>
    <w:rsid w:val="00AB00FB"/>
    <w:rsid w:val="00AC0F8E"/>
    <w:rsid w:val="00AC1918"/>
    <w:rsid w:val="00AC2507"/>
    <w:rsid w:val="00AC4970"/>
    <w:rsid w:val="00AC76B4"/>
    <w:rsid w:val="00AD4DC8"/>
    <w:rsid w:val="00AE783F"/>
    <w:rsid w:val="00AF419A"/>
    <w:rsid w:val="00AF4704"/>
    <w:rsid w:val="00B00E8B"/>
    <w:rsid w:val="00B020A2"/>
    <w:rsid w:val="00B05A41"/>
    <w:rsid w:val="00B0620B"/>
    <w:rsid w:val="00B1080B"/>
    <w:rsid w:val="00B110BE"/>
    <w:rsid w:val="00B114E5"/>
    <w:rsid w:val="00B13674"/>
    <w:rsid w:val="00B20F7F"/>
    <w:rsid w:val="00B216DC"/>
    <w:rsid w:val="00B23AF8"/>
    <w:rsid w:val="00B24551"/>
    <w:rsid w:val="00B266A2"/>
    <w:rsid w:val="00B3148D"/>
    <w:rsid w:val="00B31C0F"/>
    <w:rsid w:val="00B34DEE"/>
    <w:rsid w:val="00B413EC"/>
    <w:rsid w:val="00B43279"/>
    <w:rsid w:val="00B464B6"/>
    <w:rsid w:val="00B60137"/>
    <w:rsid w:val="00B638D6"/>
    <w:rsid w:val="00B6777E"/>
    <w:rsid w:val="00B710D6"/>
    <w:rsid w:val="00B829CF"/>
    <w:rsid w:val="00B957E7"/>
    <w:rsid w:val="00BA1D77"/>
    <w:rsid w:val="00BA6C38"/>
    <w:rsid w:val="00BB0307"/>
    <w:rsid w:val="00BB3403"/>
    <w:rsid w:val="00BB4F63"/>
    <w:rsid w:val="00BB51BA"/>
    <w:rsid w:val="00BB54B8"/>
    <w:rsid w:val="00BB5526"/>
    <w:rsid w:val="00BC34A5"/>
    <w:rsid w:val="00BC551F"/>
    <w:rsid w:val="00BD27D8"/>
    <w:rsid w:val="00BD4D1F"/>
    <w:rsid w:val="00BD590E"/>
    <w:rsid w:val="00BE06A6"/>
    <w:rsid w:val="00BE0EAE"/>
    <w:rsid w:val="00BE2372"/>
    <w:rsid w:val="00BF2579"/>
    <w:rsid w:val="00BF6FAD"/>
    <w:rsid w:val="00C00642"/>
    <w:rsid w:val="00C019D8"/>
    <w:rsid w:val="00C173F4"/>
    <w:rsid w:val="00C17A2C"/>
    <w:rsid w:val="00C20B20"/>
    <w:rsid w:val="00C20F1D"/>
    <w:rsid w:val="00C21915"/>
    <w:rsid w:val="00C23D15"/>
    <w:rsid w:val="00C2556D"/>
    <w:rsid w:val="00C30FBA"/>
    <w:rsid w:val="00C32BF9"/>
    <w:rsid w:val="00C35393"/>
    <w:rsid w:val="00C454AA"/>
    <w:rsid w:val="00C47726"/>
    <w:rsid w:val="00C5132D"/>
    <w:rsid w:val="00C539BE"/>
    <w:rsid w:val="00C61708"/>
    <w:rsid w:val="00C62D94"/>
    <w:rsid w:val="00C63DD8"/>
    <w:rsid w:val="00C669EF"/>
    <w:rsid w:val="00C765C4"/>
    <w:rsid w:val="00CA1E8B"/>
    <w:rsid w:val="00CB0FB2"/>
    <w:rsid w:val="00CB2311"/>
    <w:rsid w:val="00CB3996"/>
    <w:rsid w:val="00CB4378"/>
    <w:rsid w:val="00CB48BC"/>
    <w:rsid w:val="00CB7873"/>
    <w:rsid w:val="00CC0403"/>
    <w:rsid w:val="00CC07F6"/>
    <w:rsid w:val="00CC3831"/>
    <w:rsid w:val="00CC4174"/>
    <w:rsid w:val="00CD1FCC"/>
    <w:rsid w:val="00CD2710"/>
    <w:rsid w:val="00CD75EA"/>
    <w:rsid w:val="00CE1DDA"/>
    <w:rsid w:val="00CE663B"/>
    <w:rsid w:val="00CE6F3F"/>
    <w:rsid w:val="00CE714F"/>
    <w:rsid w:val="00CF3F70"/>
    <w:rsid w:val="00CF69E8"/>
    <w:rsid w:val="00CF6C0F"/>
    <w:rsid w:val="00D006D3"/>
    <w:rsid w:val="00D01A51"/>
    <w:rsid w:val="00D0266E"/>
    <w:rsid w:val="00D0483D"/>
    <w:rsid w:val="00D0522C"/>
    <w:rsid w:val="00D05A43"/>
    <w:rsid w:val="00D07E0A"/>
    <w:rsid w:val="00D12E85"/>
    <w:rsid w:val="00D17DD8"/>
    <w:rsid w:val="00D228D1"/>
    <w:rsid w:val="00D235BE"/>
    <w:rsid w:val="00D32B9A"/>
    <w:rsid w:val="00D34B4B"/>
    <w:rsid w:val="00D37A5B"/>
    <w:rsid w:val="00D420F7"/>
    <w:rsid w:val="00D470EA"/>
    <w:rsid w:val="00D5059F"/>
    <w:rsid w:val="00D50EC5"/>
    <w:rsid w:val="00D63B95"/>
    <w:rsid w:val="00D6541C"/>
    <w:rsid w:val="00D65BBC"/>
    <w:rsid w:val="00D7299F"/>
    <w:rsid w:val="00D72EAA"/>
    <w:rsid w:val="00D756F5"/>
    <w:rsid w:val="00D771ED"/>
    <w:rsid w:val="00D80C5B"/>
    <w:rsid w:val="00D84D7A"/>
    <w:rsid w:val="00D8531D"/>
    <w:rsid w:val="00D86063"/>
    <w:rsid w:val="00D92077"/>
    <w:rsid w:val="00DA4EFD"/>
    <w:rsid w:val="00DB42E2"/>
    <w:rsid w:val="00DB59AA"/>
    <w:rsid w:val="00DB6211"/>
    <w:rsid w:val="00DB62EE"/>
    <w:rsid w:val="00DB6F7E"/>
    <w:rsid w:val="00DC37CE"/>
    <w:rsid w:val="00DC6743"/>
    <w:rsid w:val="00DD330A"/>
    <w:rsid w:val="00DD4D03"/>
    <w:rsid w:val="00DD5093"/>
    <w:rsid w:val="00DD5667"/>
    <w:rsid w:val="00DD71BC"/>
    <w:rsid w:val="00DD726A"/>
    <w:rsid w:val="00DE25B0"/>
    <w:rsid w:val="00DE3C36"/>
    <w:rsid w:val="00DE43AA"/>
    <w:rsid w:val="00DF1B56"/>
    <w:rsid w:val="00DF7CBB"/>
    <w:rsid w:val="00E0318D"/>
    <w:rsid w:val="00E06047"/>
    <w:rsid w:val="00E0732A"/>
    <w:rsid w:val="00E113C1"/>
    <w:rsid w:val="00E14D9C"/>
    <w:rsid w:val="00E233A4"/>
    <w:rsid w:val="00E2620A"/>
    <w:rsid w:val="00E30500"/>
    <w:rsid w:val="00E346DD"/>
    <w:rsid w:val="00E34B27"/>
    <w:rsid w:val="00E43FC5"/>
    <w:rsid w:val="00E54716"/>
    <w:rsid w:val="00E54F9B"/>
    <w:rsid w:val="00E55D54"/>
    <w:rsid w:val="00E63DC4"/>
    <w:rsid w:val="00E722C9"/>
    <w:rsid w:val="00E72B74"/>
    <w:rsid w:val="00E7397F"/>
    <w:rsid w:val="00E73DD4"/>
    <w:rsid w:val="00E76570"/>
    <w:rsid w:val="00E80AD8"/>
    <w:rsid w:val="00E8528B"/>
    <w:rsid w:val="00E90CB4"/>
    <w:rsid w:val="00E9777A"/>
    <w:rsid w:val="00EA0633"/>
    <w:rsid w:val="00EA137F"/>
    <w:rsid w:val="00EA283A"/>
    <w:rsid w:val="00EA442A"/>
    <w:rsid w:val="00EA52AF"/>
    <w:rsid w:val="00EA743F"/>
    <w:rsid w:val="00EC00FB"/>
    <w:rsid w:val="00EC15D7"/>
    <w:rsid w:val="00ED2446"/>
    <w:rsid w:val="00ED745D"/>
    <w:rsid w:val="00EE43FE"/>
    <w:rsid w:val="00EF5009"/>
    <w:rsid w:val="00EF6B9D"/>
    <w:rsid w:val="00F037FD"/>
    <w:rsid w:val="00F05126"/>
    <w:rsid w:val="00F05418"/>
    <w:rsid w:val="00F05482"/>
    <w:rsid w:val="00F059D5"/>
    <w:rsid w:val="00F05B56"/>
    <w:rsid w:val="00F119F5"/>
    <w:rsid w:val="00F1657A"/>
    <w:rsid w:val="00F17B6F"/>
    <w:rsid w:val="00F201E3"/>
    <w:rsid w:val="00F30B43"/>
    <w:rsid w:val="00F35AAC"/>
    <w:rsid w:val="00F37974"/>
    <w:rsid w:val="00F37DF1"/>
    <w:rsid w:val="00F40AA7"/>
    <w:rsid w:val="00F4163A"/>
    <w:rsid w:val="00F420BC"/>
    <w:rsid w:val="00F454B4"/>
    <w:rsid w:val="00F4759C"/>
    <w:rsid w:val="00F55839"/>
    <w:rsid w:val="00F62BD3"/>
    <w:rsid w:val="00F64FEC"/>
    <w:rsid w:val="00F6571A"/>
    <w:rsid w:val="00F657F9"/>
    <w:rsid w:val="00F66BB3"/>
    <w:rsid w:val="00F71EE9"/>
    <w:rsid w:val="00F71F33"/>
    <w:rsid w:val="00F778EC"/>
    <w:rsid w:val="00F779A9"/>
    <w:rsid w:val="00F8460E"/>
    <w:rsid w:val="00F8466C"/>
    <w:rsid w:val="00F86FF4"/>
    <w:rsid w:val="00F87B8F"/>
    <w:rsid w:val="00F87FBD"/>
    <w:rsid w:val="00F90F1E"/>
    <w:rsid w:val="00F91EA9"/>
    <w:rsid w:val="00FA1A4D"/>
    <w:rsid w:val="00FA558E"/>
    <w:rsid w:val="00FA6A1C"/>
    <w:rsid w:val="00FB2F0A"/>
    <w:rsid w:val="00FB324A"/>
    <w:rsid w:val="00FB4DCB"/>
    <w:rsid w:val="00FB50F5"/>
    <w:rsid w:val="00FB63BA"/>
    <w:rsid w:val="00FB7F51"/>
    <w:rsid w:val="00FC101C"/>
    <w:rsid w:val="00FC30C1"/>
    <w:rsid w:val="00FC34F3"/>
    <w:rsid w:val="00FC56B1"/>
    <w:rsid w:val="00FC5EFC"/>
    <w:rsid w:val="00FD2AD0"/>
    <w:rsid w:val="00FD3B6A"/>
    <w:rsid w:val="00FD63D2"/>
    <w:rsid w:val="00FE002A"/>
    <w:rsid w:val="00FE165D"/>
    <w:rsid w:val="00FE29FC"/>
    <w:rsid w:val="00FE3A21"/>
    <w:rsid w:val="00FE3F84"/>
    <w:rsid w:val="00FF01B9"/>
    <w:rsid w:val="00FF22A7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A256"/>
  <w15:chartTrackingRefBased/>
  <w15:docId w15:val="{0D9A1712-F597-4326-A95D-EF9E55D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4A9"/>
    <w:rPr>
      <w:color w:val="0563C1" w:themeColor="hyperlink"/>
      <w:u w:val="single"/>
    </w:rPr>
  </w:style>
  <w:style w:type="paragraph" w:customStyle="1" w:styleId="Default">
    <w:name w:val="Default"/>
    <w:rsid w:val="00310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0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47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ua.gov/files/press-releases-news/joint-statement-additional-loan-accommodation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umerfinance.gov/policy-compliance/guidance/consumer-lending-resources/payday-lending-rule/payday-lending-rule-faq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ralregister.gov/documents/2020/07/22/2020-14935/payday-vehicle-title-and-certain-high-cost-installment-loa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ncua.gov/regulation-supervision/letters-credit-unions-other-guidance/interagency-statement-use-alternative-data-credit-underwrit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incen.gov/news/news-releases/agencies-issue-statement-bank-secrecy-act-due-diligence-requirements-custom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DC1987672042855F8CC67092C597" ma:contentTypeVersion="11" ma:contentTypeDescription="Create a new document." ma:contentTypeScope="" ma:versionID="928ab65be55e550ffce8f2205346b8f5">
  <xsd:schema xmlns:xsd="http://www.w3.org/2001/XMLSchema" xmlns:xs="http://www.w3.org/2001/XMLSchema" xmlns:p="http://schemas.microsoft.com/office/2006/metadata/properties" xmlns:ns3="1f9f7234-da21-4d1c-b079-cf95a138ca93" xmlns:ns4="22e96b56-af01-41bb-9718-d7fb4b7d5cdf" targetNamespace="http://schemas.microsoft.com/office/2006/metadata/properties" ma:root="true" ma:fieldsID="cc8736211f08c7df81e8a3d10566e2d7" ns3:_="" ns4:_="">
    <xsd:import namespace="1f9f7234-da21-4d1c-b079-cf95a138ca93"/>
    <xsd:import namespace="22e96b56-af01-41bb-9718-d7fb4b7d5c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7234-da21-4d1c-b079-cf95a138c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6b56-af01-41bb-9718-d7fb4b7d5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B4717-6285-40D9-AED6-EBB44A749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CFAD6-EE99-4738-A233-D3E00569F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BC601-311C-456B-B724-D110E213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f7234-da21-4d1c-b079-cf95a138ca93"/>
    <ds:schemaRef ds:uri="22e96b56-af01-41bb-9718-d7fb4b7d5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8CECB-F247-4C33-946F-D53A2D4AC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LeDu</dc:creator>
  <cp:keywords/>
  <dc:description/>
  <cp:lastModifiedBy>Mary Ann Koelzer</cp:lastModifiedBy>
  <cp:revision>119</cp:revision>
  <dcterms:created xsi:type="dcterms:W3CDTF">2020-06-29T12:21:00Z</dcterms:created>
  <dcterms:modified xsi:type="dcterms:W3CDTF">2020-10-01T13:54:00Z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0x01010012DDDC1987672042855F8CC67092C597</vt:lpwstr>
  </property>
</Properties>
</file>